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alibri" w:cs="Calibri" w:eastAsia="Calibri" w:hAnsi="Calibri"/>
          <w:b w:val="1"/>
          <w:i w:val="1"/>
          <w:sz w:val="40"/>
          <w:szCs w:val="4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highlight w:val="white"/>
          <w:rtl w:val="0"/>
        </w:rPr>
        <w:t xml:space="preserve">ANEXO 11</w:t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b w:val="1"/>
          <w:i w:val="1"/>
          <w:sz w:val="40"/>
          <w:szCs w:val="40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40"/>
          <w:szCs w:val="40"/>
          <w:highlight w:val="white"/>
          <w:rtl w:val="0"/>
        </w:rPr>
        <w:t xml:space="preserve">Propuesta del proceso de formación.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b w:val="1"/>
          <w:i w:val="1"/>
          <w:sz w:val="40"/>
          <w:szCs w:val="4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b w:val="1"/>
          <w:highlight w:val="white"/>
        </w:rPr>
      </w:pPr>
      <w:r w:rsidDel="00000000" w:rsidR="00000000" w:rsidRPr="00000000">
        <w:rPr>
          <w:b w:val="1"/>
          <w:highlight w:val="white"/>
          <w:rtl w:val="0"/>
        </w:rPr>
        <w:t xml:space="preserve">ES OBLIGATORIO INCLUIR CADA UNO DE LOS PUNTOS A CONTINUACIÓN EN EL ORDEN EN LOS QUE SE ENCUENTRAN ENUMERADOS</w:t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  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Nombre del proceso de formación.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Justificación: pertinencia del proceso de formación.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Objetivos.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afterAutospacing="0"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Lugar o forma de realización del proceso de formación y periodo de estudios.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afterAutospacing="0" w:before="0" w:beforeAutospacing="0" w:line="240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rtl w:val="0"/>
        </w:rPr>
        <w:t xml:space="preserve">Con qué infraestructura cuenta para realizar los procesos de formación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Descripción de la plataforma en línea destinada al proceso de formación (si aplica).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Contenidos teóricos y/o prácticos.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line="276" w:lineRule="auto"/>
        <w:ind w:left="720" w:hanging="360"/>
        <w:jc w:val="both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Experiencia y trayectoria de cada uno de los talleristas que participarán en el proceso.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Descripción del componente de práctica </w:t>
      </w:r>
      <w:r w:rsidDel="00000000" w:rsidR="00000000" w:rsidRPr="00000000">
        <w:rPr>
          <w:rtl w:val="0"/>
        </w:rPr>
        <w:t xml:space="preserve">(si lo hay).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Metodología de enseñanza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Modelo de evaluación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Perfil de estudiantes esperados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rtl w:val="0"/>
        </w:rPr>
        <w:t xml:space="preserve">Número de estudiantes esperados.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Proceso de selección de estudiantes.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highlight w:val="white"/>
        </w:rPr>
      </w:pPr>
      <w:r w:rsidDel="00000000" w:rsidR="00000000" w:rsidRPr="00000000">
        <w:rPr>
          <w:rtl w:val="0"/>
        </w:rPr>
        <w:t xml:space="preserve">Estrategia que fomente la paridad de género en los estudiantes del programa y los beneficiarios de las becas del FDC.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line="276" w:lineRule="auto"/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Entidades vinculadas al proyecto y su aporte (si aplica)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240" w:line="276" w:lineRule="auto"/>
        <w:ind w:left="720" w:hanging="360"/>
        <w:jc w:val="both"/>
        <w:rPr/>
      </w:pPr>
      <w:r w:rsidDel="00000000" w:rsidR="00000000" w:rsidRPr="00000000">
        <w:rPr>
          <w:highlight w:val="white"/>
          <w:rtl w:val="0"/>
        </w:rPr>
        <w:t xml:space="preserve">Cronograma de actividades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jc w:val="right"/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FDC 2024</w:t>
    </w:r>
  </w:p>
  <w:p w:rsidR="00000000" w:rsidDel="00000000" w:rsidP="00000000" w:rsidRDefault="00000000" w:rsidRPr="00000000" w14:paraId="0000001A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</w:rPr>
  </w:style>
  <w:style w:type="paragraph" w:styleId="Title">
    <w:name w:val="Title"/>
    <w:basedOn w:val="Normal"/>
    <w:next w:val="Normal"/>
    <w:pPr>
      <w:keepNext w:val="1"/>
      <w:keepLines w:val="1"/>
      <w:spacing w:after="60" w:lineRule="auto"/>
    </w:pPr>
    <w:rPr>
      <w:sz w:val="52"/>
      <w:szCs w:val="5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0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120" w:before="36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2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40"/>
      <w:outlineLvl w:val="5"/>
    </w:pPr>
    <w:rPr>
      <w:i w:val="1"/>
      <w:color w:val="666666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320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lineRule="auto"/>
    </w:pPr>
    <w:rPr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JSTro4oFqYwJ6myjbSK9bGQPcFQ==">CgMxLjA4AHIhMWJzRVBRLUxSa0hxMWl3ck55X1BjYzdVTU9obHB0WVBM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2021-04-26T14:38:00Z</dcterms:created>
  <dc:creator>Andrea Afanador</dc:creator>
</cp:coreProperties>
</file>